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92F" w:rsidRPr="004D092F" w:rsidRDefault="004D092F" w:rsidP="004D092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092F">
        <w:rPr>
          <w:rFonts w:ascii="Times New Roman" w:eastAsia="Calibri" w:hAnsi="Times New Roman" w:cs="Times New Roman"/>
          <w:b/>
          <w:sz w:val="28"/>
          <w:szCs w:val="28"/>
        </w:rPr>
        <w:t>Паспорт муниципальной программы</w:t>
      </w:r>
    </w:p>
    <w:p w:rsidR="004D092F" w:rsidRPr="004D092F" w:rsidRDefault="004D092F" w:rsidP="004D092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Гармонизация межнациональных и межконфессиональных отношений на территории Тунгокоченского муниципального округа   на 2026 – 2030 годы» (далее программа)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 разработки муниципальной программы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 от 27 июня 2025 года № 332 «О разработке муниципальной программы «Гармонизация межнациональных и межконфессиональных отношений на территории Тунгокоченского муниципального округа   на 2026 – 2030 годы»»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Заказчик муниципальной программы                                         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Тунгокоченского муниципального округа Забайкальского края.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Сохранение и популяризация историко-культурного наследия округа, привлечение к историческому наследию жителей округа;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- Сохранение атмосферы взаимного уважения к национальным и конфессиональным традициям и обычаям народов, проживающих на территории округа;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равенства прав и свобод человека и свобод человека и гражданина независимо от расы, национальности, языка, отношения к религии и других обстоятельств;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- Формирование позитивного имиджа Тунгокоченского муниципального округа как территории, комфортной для проживания представителей различных национальностей, а также как политически и социально-экономически стабильного района для вложения инвестиций и ведения бизнеса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этап, срок 5 лет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 с 2026г-2030годы.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Объёмы и источники финансирования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Всего 750,0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2026 год – 150,0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2027 год – 150,0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2028 год – 150,0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2029год – 150,0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2030 год – 150,0 </w:t>
            </w:r>
            <w:proofErr w:type="spellStart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Источник финансирования: бюджет Тунгокоченского муниципального округа</w:t>
            </w: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целевые индикаторы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Народные гуляния «Троицын хоровод (чел.): 2026г. – 300; 2026г. – 300; 2027г. – 350; 2028г. – 350; 2029г. – 350; 2030г.-350.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Районный праздник «День охотника и рыболова» (чел.): 2026г. – 80; 2027г. – 80; 2028г. – 80; 2029г. – 80; 2030г.-80.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«День Семьи, Любви и Верности» (чел) – 2026г. – 100; 2027г. – 100; 2028г. – 150; 2029г. – 150; 2030г. – 150.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D092F" w:rsidRPr="004D092F" w:rsidTr="006217FC">
        <w:tc>
          <w:tcPr>
            <w:tcW w:w="3256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089" w:type="dxa"/>
          </w:tcPr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D092F">
              <w:rPr>
                <w:rFonts w:ascii="Calibri" w:eastAsia="Calibri" w:hAnsi="Calibri" w:cs="Times New Roman"/>
              </w:rPr>
              <w:t xml:space="preserve"> </w:t>
            </w: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Реализация мероприятий программы позволит: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В результате реализации Программы ожидается: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-  увеличение количества мероприятий муниципального значения, направленных на гармонизацию межнациональных отношений, этнокультурное развитие, профилактику этнического и религиозно-политического экстремизма, снижение уровня межэтнической и религиозной напряженности</w:t>
            </w: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увеличение численности участников мероприятий, направленных на гармонизацию межнациональных отношений, этнокультурное развитие, профилактику этнического и религиозно-политического экстремизма, снижение уровня межэтнической и религиозной напряженности</w:t>
            </w: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распространение идей толерантности, гражданской солидарности, уважения к другим культурам, в том числе через средства массовой информации;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формирование общероссийской гражданской идентичности населения района вне зависимости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 национальной и конфессиональной принадлежности;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- повышение уровня этнокультурной компетентности государственных и</w:t>
            </w:r>
            <w:r w:rsidRPr="004D09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муниципальных служащих, сотрудников органов правопорядка и т.д.;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092F">
              <w:rPr>
                <w:rFonts w:ascii="Times New Roman" w:eastAsia="Calibri" w:hAnsi="Times New Roman" w:cs="Times New Roman"/>
                <w:sz w:val="28"/>
                <w:szCs w:val="28"/>
              </w:rPr>
              <w:t>- реализация комплекса мер, направленных на предупреждение ксенофобии, шовинизма, национализма и межэтнических конфликтов</w:t>
            </w:r>
          </w:p>
          <w:p w:rsidR="004D092F" w:rsidRPr="004D092F" w:rsidRDefault="004D092F" w:rsidP="004D092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90897" w:rsidRDefault="004D092F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47"/>
    <w:rsid w:val="00464262"/>
    <w:rsid w:val="004D092F"/>
    <w:rsid w:val="006E075F"/>
    <w:rsid w:val="008E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4E341-4CD7-4DA8-9894-AE7EF365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2025-08-22T05:32:00Z</dcterms:created>
  <dcterms:modified xsi:type="dcterms:W3CDTF">2025-08-22T05:32:00Z</dcterms:modified>
</cp:coreProperties>
</file>